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3</w:t>
      </w:r>
    </w:p>
    <w:p>
      <w:pPr>
        <w:spacing w:line="560" w:lineRule="exact"/>
        <w:jc w:val="center"/>
        <w:rPr>
          <w:rFonts w:ascii="方正小标宋简体" w:hAnsi="宋体" w:eastAsia="方正小标宋简体"/>
          <w:bCs/>
          <w:sz w:val="44"/>
          <w:szCs w:val="36"/>
        </w:rPr>
      </w:pPr>
      <w:r>
        <w:rPr>
          <w:rFonts w:hint="eastAsia" w:ascii="方正小标宋简体" w:hAnsi="宋体" w:eastAsia="方正小标宋简体"/>
          <w:bCs/>
          <w:sz w:val="44"/>
          <w:szCs w:val="36"/>
        </w:rPr>
        <w:t>202</w:t>
      </w:r>
      <w:r>
        <w:rPr>
          <w:rFonts w:ascii="方正小标宋简体" w:hAnsi="宋体" w:eastAsia="方正小标宋简体"/>
          <w:bCs/>
          <w:sz w:val="44"/>
          <w:szCs w:val="36"/>
        </w:rPr>
        <w:t>1</w:t>
      </w:r>
      <w:r>
        <w:rPr>
          <w:rFonts w:hint="eastAsia" w:ascii="方正小标宋简体" w:hAnsi="宋体" w:eastAsia="方正小标宋简体"/>
          <w:bCs/>
          <w:sz w:val="44"/>
          <w:szCs w:val="36"/>
        </w:rPr>
        <w:t>年山东省本科高校教改重大专项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bCs/>
          <w:sz w:val="44"/>
          <w:szCs w:val="36"/>
        </w:rPr>
      </w:pPr>
      <w:r>
        <w:rPr>
          <w:rFonts w:hint="eastAsia" w:ascii="方正小标宋简体" w:hAnsi="宋体" w:eastAsia="方正小标宋简体"/>
          <w:bCs/>
          <w:sz w:val="44"/>
          <w:szCs w:val="36"/>
        </w:rPr>
        <w:t>立项选题</w:t>
      </w:r>
    </w:p>
    <w:p>
      <w:pPr>
        <w:spacing w:line="560" w:lineRule="exact"/>
        <w:rPr>
          <w:rFonts w:ascii="仿宋_GB2312" w:hAnsi="宋体" w:eastAsia="仿宋_GB2312"/>
          <w:sz w:val="32"/>
          <w:szCs w:val="32"/>
        </w:rPr>
      </w:pPr>
      <w:bookmarkStart w:id="0" w:name="_GoBack"/>
      <w:bookmarkEnd w:id="0"/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一、习近平新时代中国特色社会主义思想进课程教材研究（高等教育）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二、高校内部评价制度的国际比较研究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三、高水平大学内部评价制度研究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四、应用型大学内部评价制度研究</w:t>
      </w:r>
    </w:p>
    <w:p>
      <w:pPr>
        <w:spacing w:line="56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五、高校现代产业学院建设研究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六、普通高等学校大学生安全教育研究与课程建设</w:t>
      </w:r>
    </w:p>
    <w:p>
      <w:pPr>
        <w:widowControl/>
        <w:ind w:firstLine="640" w:firstLineChars="200"/>
        <w:jc w:val="left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（说明：本项目只以子课题方式进行立项，分为以下3个子课题。各子课题核心成果需包含课程教学内容、教学大纲、在线开放课程等）</w:t>
      </w:r>
    </w:p>
    <w:p>
      <w:pPr>
        <w:widowControl/>
        <w:ind w:firstLine="640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1.普通高等学校大学生国家安全教育研究（参照《大中小学国家安全教育指导纲要》）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2.普通高等学校大学生公共安全教育研究（包含但不限于公共卫生、消防安全、自然灾害、事故灾难、实验室安全等）</w:t>
      </w:r>
    </w:p>
    <w:p>
      <w:pPr>
        <w:spacing w:line="560" w:lineRule="exact"/>
        <w:ind w:firstLine="640" w:firstLineChars="200"/>
      </w:pPr>
      <w:r>
        <w:rPr>
          <w:rFonts w:hint="eastAsia" w:ascii="仿宋_GB2312" w:hAnsi="宋体" w:eastAsia="仿宋_GB2312"/>
          <w:sz w:val="32"/>
          <w:szCs w:val="32"/>
        </w:rPr>
        <w:t>3.普通高等学校大学生人身安全教育研究（包含但不限于意外伤害、心理健康、食品安全、财产安全、交通安全等）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211ABA"/>
    <w:rsid w:val="352F6874"/>
    <w:rsid w:val="65EC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2021-06-29T08:00:00Z</dcterms:created>
  <dc:creator>Administrator.USER-20200612HO</dc:creator>
  <cp:lastModifiedBy>沐小兮</cp:lastModifiedBy>
  <dcterms:modified xsi:type="dcterms:W3CDTF">2021-09-14T08:22:04Z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1C9B9F76E31E4626876492D213D5FD0F</vt:lpwstr>
  </property>
</Properties>
</file>