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4"/>
          <w:szCs w:val="34"/>
          <w:lang w:val="en-US" w:eastAsia="zh-CN" w:bidi="ar"/>
        </w:rPr>
        <w:t>附件 1：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山东省中华职业教育社 2022 年度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课题研究参考方向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1.贯彻落实《职业教育法》研究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2.职教社组织服务区域经济社会发展研究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3.</w:t>
      </w:r>
      <w:r>
        <w:rPr>
          <w:rFonts w:ascii="仿宋" w:hAnsi="仿宋" w:eastAsia="仿宋" w:cs="仿宋"/>
          <w:color w:val="000000"/>
          <w:kern w:val="0"/>
          <w:sz w:val="34"/>
          <w:szCs w:val="34"/>
          <w:lang w:val="en-US" w:eastAsia="zh-CN" w:bidi="ar"/>
        </w:rPr>
        <w:t>×</w:t>
      </w: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市（县）中华职教社组织建设探索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4"/>
          <w:szCs w:val="34"/>
          <w:lang w:val="en-US" w:eastAsia="zh-CN" w:bidi="ar"/>
        </w:rPr>
        <w:t>×</w:t>
      </w: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市职教社“以赛促学”提升职业院校产教融合水平探索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5.黄炎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培大职业教育思想下“工匠精神”培育策略研究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6.黄炎培职教思想对高职学生劳动素养培育启示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7.职业教育服务区域重大战略发展研究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8.职业院校治理体系和治理能力现代化研究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9.高职“全人”教育实现路径研究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10.职业院校产教融合引领教学改革研究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11.新时代教育评价改革背景下教师队伍建设研究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12.民办职业（中职）院校师资队伍建设现状、问题及对策研究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13.产教融合背景下高职学生工匠精神培养研究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14.“双高”时代高职院校产教融合发展研究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4"/>
          <w:szCs w:val="34"/>
          <w:lang w:val="en-US" w:eastAsia="zh-CN" w:bidi="ar"/>
        </w:rPr>
        <w:t>15.产教融合校企合作一体化发展研究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BF6CCA"/>
    <w:rsid w:val="42C7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2022-06-06T09:27:00Z</dcterms:created>
  <dc:creator>HY</dc:creator>
  <cp:lastModifiedBy> 晨星</cp:lastModifiedBy>
  <dcterms:modified xsi:type="dcterms:W3CDTF">2022-06-07T02:39:21Z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41DE24B9C2F14FD6B460A2B98704A1DA</vt:lpwstr>
  </property>
</Properties>
</file>